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Мақсаты-қоғам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сегменттерінің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құндылықтық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қондырғыларымен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оқиғаларға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тетіктерін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кезеңдер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: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>1.  PR-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басталар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тұжырымдамалық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талдаудан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жатқанын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қалыптасатынын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неге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өткізілетінін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апаратын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тартылған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талданады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талдаудың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жақтастар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оппоненттер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құрылымдары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схемасы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).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қайталама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).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нәтижелеріне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тұжырымдауға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санасын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қарым-қатынасын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терминдерінде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сипатталады</w:t>
      </w:r>
      <w:proofErr w:type="spellEnd"/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жылжитын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имиджді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бейнені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әзірлеудегі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компоненттердің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жылжитын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ойды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білдіретін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бейнені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өзгертуге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көзқарасымызды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топтардың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түсініктерін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қарым-қатынастарын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нысаналы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ойластырылады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жылжитын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идеяны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бейнені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имиджді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білдіруі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топтардың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ұсынымдарын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қарым-қатынасын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нәтижелеріне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топта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сүйенуі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міндеттерге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арналарын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арналарын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аудиторияларға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барабар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зейнеткерлер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Интернетте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істемейді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арналармен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жиынтығында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жылжитын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имидж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стратегиясын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>6.  PR-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шектелген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науқандарды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ойлаған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өткізе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алмайтынын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бөліктегі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қадамдар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>7. PR-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кампанияның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>.</w:t>
      </w:r>
    </w:p>
    <w:p w:rsidR="00623CBB" w:rsidRPr="00623CBB" w:rsidRDefault="00623CBB" w:rsidP="00623C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23CBB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623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623CBB">
        <w:rPr>
          <w:rFonts w:ascii="Times New Roman" w:hAnsi="Times New Roman" w:cs="Times New Roman"/>
          <w:b/>
          <w:sz w:val="24"/>
          <w:szCs w:val="24"/>
        </w:rPr>
        <w:t>: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кедергілерді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бейтараптандыру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стратегиясын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дайындауды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нұсқаларын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тұжырымдалған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мазмұндық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функциялардың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жиынтығын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оңтайландыруға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шығындарды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оңтайландыру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</w:p>
    <w:p w:rsidR="00623CBB" w:rsidRPr="00623CBB" w:rsidRDefault="00623CBB" w:rsidP="00623C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3CBB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623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623CBB">
        <w:rPr>
          <w:rFonts w:ascii="Times New Roman" w:hAnsi="Times New Roman" w:cs="Times New Roman"/>
          <w:b/>
          <w:sz w:val="24"/>
          <w:szCs w:val="24"/>
        </w:rPr>
        <w:t>: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1. Грей К. Ф.,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Болезней. М.:2014 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Минск: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623CBB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3. Лебедева Т. Паблик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601A4F" w:rsidRPr="00623CBB" w:rsidRDefault="00623CBB" w:rsidP="00623CBB">
      <w:pPr>
        <w:rPr>
          <w:rFonts w:ascii="Times New Roman" w:hAnsi="Times New Roman" w:cs="Times New Roman"/>
          <w:sz w:val="24"/>
          <w:szCs w:val="24"/>
        </w:rPr>
      </w:pPr>
      <w:r w:rsidRPr="00623CB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Дағдарысқа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 PR-консалтинг / А. С. </w:t>
      </w:r>
      <w:proofErr w:type="spellStart"/>
      <w:r w:rsidRPr="00623CBB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623CB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23CB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23CBB">
        <w:rPr>
          <w:rFonts w:ascii="Times New Roman" w:hAnsi="Times New Roman" w:cs="Times New Roman"/>
          <w:sz w:val="24"/>
          <w:szCs w:val="24"/>
        </w:rPr>
        <w:t xml:space="preserve"> Питер, 2012</w:t>
      </w:r>
    </w:p>
    <w:sectPr w:rsidR="00601A4F" w:rsidRPr="0062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C9"/>
    <w:rsid w:val="00230EC9"/>
    <w:rsid w:val="00601A4F"/>
    <w:rsid w:val="006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39F01-ADA3-4185-AEBD-83A067A6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2019-10-30T12:42:00Z</dcterms:created>
  <dcterms:modified xsi:type="dcterms:W3CDTF">2019-10-30T12:42:00Z</dcterms:modified>
</cp:coreProperties>
</file>